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66" w:rsidRPr="005D56B5" w:rsidRDefault="00821966" w:rsidP="005D56B5">
      <w:pPr>
        <w:pStyle w:val="Style6"/>
        <w:widowControl/>
        <w:tabs>
          <w:tab w:val="left" w:pos="677"/>
        </w:tabs>
        <w:spacing w:line="240" w:lineRule="auto"/>
        <w:ind w:left="113" w:firstLine="709"/>
        <w:jc w:val="center"/>
        <w:rPr>
          <w:rStyle w:val="FontStyle251"/>
          <w:rFonts w:ascii="Times New Roman" w:hAnsi="Times New Roman" w:cs="Times New Roman"/>
          <w:b/>
          <w:bCs/>
          <w:sz w:val="28"/>
          <w:szCs w:val="28"/>
        </w:rPr>
      </w:pPr>
      <w:r w:rsidRPr="005D56B5">
        <w:rPr>
          <w:rStyle w:val="FontStyle251"/>
          <w:rFonts w:ascii="Times New Roman" w:hAnsi="Times New Roman" w:cs="Times New Roman"/>
          <w:b/>
          <w:bCs/>
          <w:sz w:val="28"/>
          <w:szCs w:val="28"/>
        </w:rPr>
        <w:t xml:space="preserve">Навчально-програмне забезпечення </w:t>
      </w:r>
      <w:r w:rsidRPr="005D56B5">
        <w:rPr>
          <w:b/>
          <w:bCs/>
          <w:sz w:val="28"/>
          <w:szCs w:val="28"/>
        </w:rPr>
        <w:t>роботи секцій, гуртків, груп та інших творчих об’єднань школярів</w:t>
      </w:r>
    </w:p>
    <w:p w:rsidR="00821966" w:rsidRPr="005D56B5" w:rsidRDefault="00821966" w:rsidP="005D56B5">
      <w:pPr>
        <w:pStyle w:val="Style95"/>
        <w:widowControl/>
        <w:tabs>
          <w:tab w:val="left" w:pos="730"/>
        </w:tabs>
        <w:spacing w:line="240" w:lineRule="auto"/>
        <w:ind w:firstLine="0"/>
        <w:rPr>
          <w:rStyle w:val="FontStyle251"/>
          <w:rFonts w:ascii="Times New Roman" w:hAnsi="Times New Roman" w:cs="Times New Roman"/>
          <w:b/>
          <w:bCs/>
          <w:sz w:val="28"/>
          <w:szCs w:val="28"/>
        </w:rPr>
      </w:pPr>
    </w:p>
    <w:p w:rsidR="00821966" w:rsidRPr="005D56B5" w:rsidRDefault="00821966" w:rsidP="005D56B5">
      <w:pPr>
        <w:pStyle w:val="Style95"/>
        <w:widowControl/>
        <w:tabs>
          <w:tab w:val="left" w:pos="730"/>
        </w:tabs>
        <w:spacing w:line="240" w:lineRule="auto"/>
        <w:ind w:firstLine="720"/>
        <w:rPr>
          <w:rStyle w:val="FontStyle251"/>
          <w:rFonts w:ascii="Times New Roman" w:hAnsi="Times New Roman" w:cs="Times New Roman"/>
          <w:sz w:val="24"/>
          <w:szCs w:val="24"/>
        </w:rPr>
      </w:pPr>
      <w:r w:rsidRPr="005D56B5">
        <w:rPr>
          <w:rStyle w:val="FontStyle251"/>
          <w:rFonts w:ascii="Times New Roman" w:hAnsi="Times New Roman" w:cs="Times New Roman"/>
          <w:sz w:val="24"/>
          <w:szCs w:val="24"/>
        </w:rPr>
        <w:t>Навчально-виховні програми учнівських творчих об'єд</w:t>
      </w:r>
      <w:r w:rsidRPr="005D56B5">
        <w:rPr>
          <w:rStyle w:val="FontStyle251"/>
          <w:rFonts w:ascii="Times New Roman" w:hAnsi="Times New Roman" w:cs="Times New Roman"/>
          <w:sz w:val="24"/>
          <w:szCs w:val="24"/>
        </w:rPr>
        <w:softHyphen/>
        <w:t>нань обласного відділення та НТУ області (наукових сек</w:t>
      </w:r>
      <w:r w:rsidRPr="005D56B5">
        <w:rPr>
          <w:rStyle w:val="FontStyle251"/>
          <w:rFonts w:ascii="Times New Roman" w:hAnsi="Times New Roman" w:cs="Times New Roman"/>
          <w:sz w:val="24"/>
          <w:szCs w:val="24"/>
        </w:rPr>
        <w:softHyphen/>
        <w:t>цій, шкіл, клубів, профільних гуртків тощо) розробляються від</w:t>
      </w:r>
      <w:r w:rsidRPr="005D56B5">
        <w:rPr>
          <w:rStyle w:val="FontStyle251"/>
          <w:rFonts w:ascii="Times New Roman" w:hAnsi="Times New Roman" w:cs="Times New Roman"/>
          <w:sz w:val="24"/>
          <w:szCs w:val="24"/>
        </w:rPr>
        <w:softHyphen/>
        <w:t>повідно до напрямів пошуково-дослідницької роботи уч</w:t>
      </w:r>
      <w:r w:rsidRPr="005D56B5">
        <w:rPr>
          <w:rStyle w:val="FontStyle251"/>
          <w:rFonts w:ascii="Times New Roman" w:hAnsi="Times New Roman" w:cs="Times New Roman"/>
          <w:sz w:val="24"/>
          <w:szCs w:val="24"/>
        </w:rPr>
        <w:softHyphen/>
        <w:t>нів з урахуванням впроваджених в системі МАН навчально-ор</w:t>
      </w:r>
      <w:r w:rsidRPr="005D56B5">
        <w:rPr>
          <w:rStyle w:val="FontStyle251"/>
          <w:rFonts w:ascii="Times New Roman" w:hAnsi="Times New Roman" w:cs="Times New Roman"/>
          <w:sz w:val="24"/>
          <w:szCs w:val="24"/>
        </w:rPr>
        <w:softHyphen/>
        <w:t>ганізаційних рівнів.</w:t>
      </w:r>
    </w:p>
    <w:p w:rsidR="00821966" w:rsidRPr="005D56B5" w:rsidRDefault="00821966" w:rsidP="005D56B5">
      <w:pPr>
        <w:pStyle w:val="Heading3"/>
        <w:ind w:right="-81" w:firstLine="720"/>
        <w:jc w:val="both"/>
        <w:rPr>
          <w:sz w:val="24"/>
          <w:szCs w:val="24"/>
        </w:rPr>
      </w:pPr>
    </w:p>
    <w:p w:rsidR="00821966" w:rsidRPr="005D56B5" w:rsidRDefault="00821966" w:rsidP="005D56B5">
      <w:pPr>
        <w:pStyle w:val="Heading3"/>
        <w:ind w:right="-81" w:firstLine="720"/>
        <w:jc w:val="both"/>
        <w:rPr>
          <w:sz w:val="24"/>
          <w:szCs w:val="24"/>
        </w:rPr>
      </w:pPr>
      <w:r w:rsidRPr="005D56B5">
        <w:rPr>
          <w:sz w:val="24"/>
          <w:szCs w:val="24"/>
        </w:rPr>
        <w:t xml:space="preserve">Навчальні програми МАН характеризуються значною варіативністю, що зумовлено як різноманітністю напрямів роботи наукових секцій, профільних гуртків, груп та інших творчих об’єднань школярів, так і різною спрямованістю індивідуальної дослідницької роботи учнів. Програми передбачають використання різних форм навчально-творчої діяльності учнів: групової та індивідуальної; лекційних, семінарських, навчально-практичних занять; конкурсно-ігрових, інтерактивних та розвивально-дискусійних видів робіт; групових та індивідуальних консультацій, самостійної творчої роботи слухачів тощо. Розробка навчально-програмного забезпечення може опиратися на сучасні програми загальноосвітніх та позашкільних навчальних закладів, які передбачають застосування елементів наукового дослідження в навчально-пізнавальній діяльності школярів. Сформована база знань, умінь та навичок пошуково-дослідницької діяльності має стати основою для подальшого навчання обдарованих школярів у Малій академії наук. </w:t>
      </w:r>
    </w:p>
    <w:p w:rsidR="00821966" w:rsidRPr="005D56B5" w:rsidRDefault="00821966" w:rsidP="005D56B5">
      <w:pPr>
        <w:ind w:right="-694"/>
        <w:jc w:val="center"/>
      </w:pPr>
    </w:p>
    <w:p w:rsidR="00821966" w:rsidRPr="005D56B5" w:rsidRDefault="00821966" w:rsidP="005D56B5">
      <w:pPr>
        <w:pStyle w:val="BodyTextIndent2"/>
        <w:ind w:right="-81"/>
        <w:rPr>
          <w:sz w:val="24"/>
          <w:szCs w:val="24"/>
        </w:rPr>
      </w:pPr>
      <w:r w:rsidRPr="005D56B5">
        <w:rPr>
          <w:b/>
          <w:bCs/>
          <w:sz w:val="24"/>
          <w:szCs w:val="24"/>
        </w:rPr>
        <w:t>Навчальні програми наукових секцій, гуртків</w:t>
      </w:r>
      <w:r w:rsidRPr="005D56B5">
        <w:rPr>
          <w:sz w:val="24"/>
          <w:szCs w:val="24"/>
        </w:rPr>
        <w:t xml:space="preserve"> є нормативними документами, що розробляються керівниками секцій (гуртків) та </w:t>
      </w:r>
      <w:r w:rsidRPr="005D56B5">
        <w:rPr>
          <w:i/>
          <w:iCs/>
          <w:sz w:val="24"/>
          <w:szCs w:val="24"/>
        </w:rPr>
        <w:t>затверджуються на засіданні кафедри (методичній раді, методоб’єднанні) навчального закладу.</w:t>
      </w:r>
      <w:r w:rsidRPr="005D56B5">
        <w:rPr>
          <w:sz w:val="24"/>
          <w:szCs w:val="24"/>
        </w:rPr>
        <w:t xml:space="preserve"> Навчальна програма забезпечує цілісність, цілеспрямованість та системність процесу освітньої, виховної та розвиваючої роботи, має сприяти розвитку творчих здібностей, формуванню культури творчої праці, самореалізації школярів</w:t>
      </w:r>
      <w:r w:rsidRPr="005D56B5">
        <w:t xml:space="preserve"> </w:t>
      </w:r>
      <w:r w:rsidRPr="005D56B5">
        <w:rPr>
          <w:sz w:val="24"/>
          <w:szCs w:val="24"/>
        </w:rPr>
        <w:t>у науково-дослідницькій діяльності. Зміст програми може відповідати змісту програм навчальних предметів загальноосвітніх навчальних закладів (з поглибленим вивченням окремих розділів, тем) та доповнюватися профільною тематикою, необхідною для здійснення пошуково-дослідницької роботи учнів.</w:t>
      </w:r>
    </w:p>
    <w:p w:rsidR="00821966" w:rsidRPr="005D56B5" w:rsidRDefault="00821966" w:rsidP="005D56B5">
      <w:pPr>
        <w:pStyle w:val="BodyTextIndent2"/>
        <w:ind w:right="-81"/>
        <w:rPr>
          <w:sz w:val="24"/>
          <w:szCs w:val="24"/>
        </w:rPr>
      </w:pPr>
      <w:r w:rsidRPr="005D56B5">
        <w:rPr>
          <w:sz w:val="24"/>
          <w:szCs w:val="24"/>
        </w:rPr>
        <w:t xml:space="preserve">Навчальна програма секції визначає обсяги знань та практичних вмінь, які повинен засвоїти слухач МАН протягом навчального курсу і розробляється за такою </w:t>
      </w:r>
      <w:r w:rsidRPr="005D56B5">
        <w:rPr>
          <w:i/>
          <w:iCs/>
          <w:sz w:val="24"/>
          <w:szCs w:val="24"/>
        </w:rPr>
        <w:t xml:space="preserve">типовою </w:t>
      </w:r>
      <w:r w:rsidRPr="005D56B5">
        <w:rPr>
          <w:sz w:val="24"/>
          <w:szCs w:val="24"/>
        </w:rPr>
        <w:t>структурою:</w:t>
      </w:r>
    </w:p>
    <w:p w:rsidR="00821966" w:rsidRPr="005D56B5" w:rsidRDefault="00821966" w:rsidP="005D56B5">
      <w:pPr>
        <w:pStyle w:val="BodyTextIndent2"/>
        <w:numPr>
          <w:ilvl w:val="0"/>
          <w:numId w:val="1"/>
        </w:numPr>
        <w:ind w:right="-81"/>
        <w:rPr>
          <w:sz w:val="24"/>
          <w:szCs w:val="24"/>
        </w:rPr>
      </w:pPr>
      <w:r w:rsidRPr="005D56B5">
        <w:rPr>
          <w:sz w:val="24"/>
          <w:szCs w:val="24"/>
        </w:rPr>
        <w:t>Пояснювальна записка</w:t>
      </w:r>
    </w:p>
    <w:p w:rsidR="00821966" w:rsidRPr="005D56B5" w:rsidRDefault="00821966" w:rsidP="005D56B5">
      <w:pPr>
        <w:pStyle w:val="BodyTextIndent2"/>
        <w:numPr>
          <w:ilvl w:val="0"/>
          <w:numId w:val="1"/>
        </w:numPr>
        <w:ind w:right="-81"/>
        <w:rPr>
          <w:sz w:val="24"/>
          <w:szCs w:val="24"/>
        </w:rPr>
      </w:pPr>
      <w:r w:rsidRPr="005D56B5">
        <w:rPr>
          <w:sz w:val="24"/>
          <w:szCs w:val="24"/>
        </w:rPr>
        <w:t>Зміст тем курсу</w:t>
      </w:r>
    </w:p>
    <w:p w:rsidR="00821966" w:rsidRPr="005D56B5" w:rsidRDefault="00821966" w:rsidP="005D56B5">
      <w:pPr>
        <w:pStyle w:val="BodyTextIndent2"/>
        <w:numPr>
          <w:ilvl w:val="0"/>
          <w:numId w:val="1"/>
        </w:numPr>
        <w:ind w:right="-81"/>
        <w:rPr>
          <w:i/>
          <w:iCs/>
          <w:sz w:val="24"/>
          <w:szCs w:val="24"/>
        </w:rPr>
      </w:pPr>
      <w:r w:rsidRPr="005D56B5">
        <w:rPr>
          <w:sz w:val="24"/>
          <w:szCs w:val="24"/>
        </w:rPr>
        <w:t xml:space="preserve">Тематичний план </w:t>
      </w:r>
      <w:r w:rsidRPr="005D56B5">
        <w:rPr>
          <w:i/>
          <w:iCs/>
          <w:sz w:val="24"/>
          <w:szCs w:val="24"/>
        </w:rPr>
        <w:t>(таблиця)</w:t>
      </w:r>
    </w:p>
    <w:p w:rsidR="00821966" w:rsidRPr="005D56B5" w:rsidRDefault="00821966" w:rsidP="005D56B5">
      <w:pPr>
        <w:pStyle w:val="BodyTextIndent2"/>
        <w:numPr>
          <w:ilvl w:val="0"/>
          <w:numId w:val="1"/>
        </w:numPr>
        <w:ind w:right="-81"/>
        <w:rPr>
          <w:sz w:val="24"/>
          <w:szCs w:val="24"/>
        </w:rPr>
      </w:pPr>
      <w:r w:rsidRPr="005D56B5">
        <w:rPr>
          <w:sz w:val="24"/>
          <w:szCs w:val="24"/>
        </w:rPr>
        <w:t>Завдання для самостійної роботи</w:t>
      </w:r>
    </w:p>
    <w:p w:rsidR="00821966" w:rsidRPr="005D56B5" w:rsidRDefault="00821966" w:rsidP="005D56B5">
      <w:pPr>
        <w:pStyle w:val="BodyTextIndent2"/>
        <w:numPr>
          <w:ilvl w:val="0"/>
          <w:numId w:val="1"/>
        </w:numPr>
        <w:ind w:right="-81"/>
        <w:rPr>
          <w:sz w:val="24"/>
          <w:szCs w:val="24"/>
        </w:rPr>
      </w:pPr>
      <w:r w:rsidRPr="005D56B5">
        <w:rPr>
          <w:sz w:val="24"/>
          <w:szCs w:val="24"/>
        </w:rPr>
        <w:t>Індивідуальні завдання</w:t>
      </w:r>
    </w:p>
    <w:p w:rsidR="00821966" w:rsidRPr="005D56B5" w:rsidRDefault="00821966" w:rsidP="005D56B5">
      <w:pPr>
        <w:pStyle w:val="BodyTextIndent2"/>
        <w:numPr>
          <w:ilvl w:val="0"/>
          <w:numId w:val="1"/>
        </w:numPr>
        <w:ind w:right="-81"/>
        <w:rPr>
          <w:sz w:val="24"/>
          <w:szCs w:val="24"/>
        </w:rPr>
      </w:pPr>
      <w:r w:rsidRPr="005D56B5">
        <w:rPr>
          <w:sz w:val="24"/>
          <w:szCs w:val="24"/>
        </w:rPr>
        <w:t>Рекомендована література та інтернет-ресурси</w:t>
      </w:r>
    </w:p>
    <w:p w:rsidR="00821966" w:rsidRPr="005D56B5" w:rsidRDefault="00821966" w:rsidP="005D56B5">
      <w:pPr>
        <w:pStyle w:val="BodyTextIndent2"/>
        <w:ind w:right="-694"/>
        <w:rPr>
          <w:sz w:val="24"/>
          <w:szCs w:val="24"/>
        </w:rPr>
      </w:pPr>
    </w:p>
    <w:p w:rsidR="00821966" w:rsidRPr="005D56B5" w:rsidRDefault="00821966" w:rsidP="005D56B5">
      <w:pPr>
        <w:pStyle w:val="BodyTextIndent2"/>
        <w:ind w:right="-81"/>
        <w:rPr>
          <w:sz w:val="24"/>
          <w:szCs w:val="24"/>
        </w:rPr>
      </w:pPr>
      <w:r w:rsidRPr="005D56B5">
        <w:rPr>
          <w:sz w:val="24"/>
          <w:szCs w:val="24"/>
        </w:rPr>
        <w:t>В розділі ПОЯСНЮВАЛЬНА ЗАПИСКА зазначається предмет курсу, його мета та міжпредметні зв</w:t>
      </w:r>
      <w:r w:rsidRPr="005D56B5">
        <w:rPr>
          <w:sz w:val="24"/>
          <w:szCs w:val="24"/>
          <w:lang w:val="ru-RU"/>
        </w:rPr>
        <w:t>’</w:t>
      </w:r>
      <w:r w:rsidRPr="005D56B5">
        <w:rPr>
          <w:sz w:val="24"/>
          <w:szCs w:val="24"/>
        </w:rPr>
        <w:t>язки. На завершення розділу має бути чітко визначено – що повинен знати і вміти слухач після завершення навчання.</w:t>
      </w:r>
    </w:p>
    <w:p w:rsidR="00821966" w:rsidRPr="005D56B5" w:rsidRDefault="00821966" w:rsidP="005D56B5">
      <w:pPr>
        <w:pStyle w:val="BodyTextIndent2"/>
        <w:ind w:right="-81"/>
        <w:rPr>
          <w:sz w:val="24"/>
          <w:szCs w:val="24"/>
        </w:rPr>
      </w:pPr>
      <w:r w:rsidRPr="005D56B5">
        <w:rPr>
          <w:sz w:val="24"/>
          <w:szCs w:val="24"/>
        </w:rPr>
        <w:t>У ЗМІСТІ ТЕМ КУРСУ пропонуються основні теми курсу з коротким переліком питань, що забезпечують їх вивчення. Виходячи з основної мети навчання старшокласника в МАН, зміст тем курсу повинен включати три основні змістові модулі:</w:t>
      </w:r>
    </w:p>
    <w:p w:rsidR="00821966" w:rsidRPr="005D56B5" w:rsidRDefault="00821966" w:rsidP="005D56B5">
      <w:pPr>
        <w:pStyle w:val="BodyTextIndent2"/>
        <w:numPr>
          <w:ilvl w:val="0"/>
          <w:numId w:val="2"/>
        </w:numPr>
        <w:tabs>
          <w:tab w:val="clear" w:pos="1680"/>
        </w:tabs>
        <w:ind w:left="1080" w:right="-81" w:hanging="360"/>
        <w:rPr>
          <w:sz w:val="24"/>
          <w:szCs w:val="24"/>
        </w:rPr>
      </w:pPr>
      <w:r w:rsidRPr="005D56B5">
        <w:rPr>
          <w:sz w:val="24"/>
          <w:szCs w:val="24"/>
        </w:rPr>
        <w:t>загальні питання, пов</w:t>
      </w:r>
      <w:r w:rsidRPr="005D56B5">
        <w:rPr>
          <w:sz w:val="24"/>
          <w:szCs w:val="24"/>
          <w:lang w:val="ru-RU"/>
        </w:rPr>
        <w:t>’</w:t>
      </w:r>
      <w:r w:rsidRPr="005D56B5">
        <w:rPr>
          <w:sz w:val="24"/>
          <w:szCs w:val="24"/>
        </w:rPr>
        <w:t>язані з методикою та методологією наукового дослідження;</w:t>
      </w:r>
    </w:p>
    <w:p w:rsidR="00821966" w:rsidRPr="005D56B5" w:rsidRDefault="00821966" w:rsidP="005D56B5">
      <w:pPr>
        <w:pStyle w:val="BodyTextIndent2"/>
        <w:numPr>
          <w:ilvl w:val="0"/>
          <w:numId w:val="2"/>
        </w:numPr>
        <w:tabs>
          <w:tab w:val="clear" w:pos="1680"/>
        </w:tabs>
        <w:ind w:left="1080" w:right="-81" w:hanging="360"/>
        <w:rPr>
          <w:sz w:val="24"/>
          <w:szCs w:val="24"/>
        </w:rPr>
      </w:pPr>
      <w:r w:rsidRPr="005D56B5">
        <w:rPr>
          <w:sz w:val="24"/>
          <w:szCs w:val="24"/>
        </w:rPr>
        <w:t>питання, пов</w:t>
      </w:r>
      <w:r w:rsidRPr="005D56B5">
        <w:rPr>
          <w:sz w:val="24"/>
          <w:szCs w:val="24"/>
          <w:lang w:val="ru-RU"/>
        </w:rPr>
        <w:t>’</w:t>
      </w:r>
      <w:r w:rsidRPr="005D56B5">
        <w:rPr>
          <w:sz w:val="24"/>
          <w:szCs w:val="24"/>
        </w:rPr>
        <w:t>язані з методикою організації та проведення наукового дослідження у конкретній галузі знань;</w:t>
      </w:r>
    </w:p>
    <w:p w:rsidR="00821966" w:rsidRPr="005D56B5" w:rsidRDefault="00821966" w:rsidP="005D56B5">
      <w:pPr>
        <w:pStyle w:val="BodyTextIndent2"/>
        <w:numPr>
          <w:ilvl w:val="0"/>
          <w:numId w:val="2"/>
        </w:numPr>
        <w:tabs>
          <w:tab w:val="clear" w:pos="1680"/>
        </w:tabs>
        <w:ind w:left="1080" w:right="-81" w:hanging="360"/>
        <w:rPr>
          <w:sz w:val="24"/>
          <w:szCs w:val="24"/>
        </w:rPr>
      </w:pPr>
      <w:r w:rsidRPr="005D56B5">
        <w:rPr>
          <w:sz w:val="24"/>
          <w:szCs w:val="24"/>
        </w:rPr>
        <w:t>перелік тем, що визначаються специфікою курсу.</w:t>
      </w:r>
    </w:p>
    <w:p w:rsidR="00821966" w:rsidRPr="005D56B5" w:rsidRDefault="00821966" w:rsidP="005D56B5">
      <w:pPr>
        <w:pStyle w:val="BodyTextIndent2"/>
        <w:ind w:right="-81"/>
        <w:rPr>
          <w:sz w:val="24"/>
          <w:szCs w:val="24"/>
        </w:rPr>
      </w:pPr>
      <w:r w:rsidRPr="005D56B5">
        <w:rPr>
          <w:sz w:val="24"/>
          <w:szCs w:val="24"/>
        </w:rPr>
        <w:t xml:space="preserve">У ТЕМАТИЧНОМУ ПЛАНІ </w:t>
      </w:r>
      <w:r w:rsidRPr="005D56B5">
        <w:rPr>
          <w:i/>
          <w:iCs/>
          <w:sz w:val="24"/>
          <w:szCs w:val="24"/>
        </w:rPr>
        <w:t xml:space="preserve">(за схемою) </w:t>
      </w:r>
      <w:r w:rsidRPr="005D56B5">
        <w:rPr>
          <w:sz w:val="24"/>
          <w:szCs w:val="24"/>
        </w:rPr>
        <w:t xml:space="preserve">наводиться перелік тем та кількість лекційних (практичних, лабораторних), інших видів (колоквіумів, дискусій, міні-захистів наукових проектів тощо) годин, передбачених на вивчення кожної теми. </w:t>
      </w:r>
    </w:p>
    <w:p w:rsidR="00821966" w:rsidRPr="005D56B5" w:rsidRDefault="00821966" w:rsidP="005D56B5">
      <w:pPr>
        <w:pStyle w:val="BodyTextIndent2"/>
        <w:ind w:right="-81"/>
      </w:pPr>
      <w:r w:rsidRPr="005D56B5">
        <w:rPr>
          <w:sz w:val="24"/>
          <w:szCs w:val="24"/>
        </w:rPr>
        <w:t>У розділі ЗАВДАННЯ ДЛЯ САМОСТІЙНОЇ РОБОТИ</w:t>
      </w:r>
      <w:r w:rsidRPr="005D56B5">
        <w:rPr>
          <w:lang w:val="ru-RU"/>
        </w:rPr>
        <w:t xml:space="preserve"> </w:t>
      </w:r>
      <w:r w:rsidRPr="005D56B5">
        <w:t>вказується зміст навчального матеріалу, що є предметом самостійного опрацювання. Самостійна робота може включати:</w:t>
      </w:r>
    </w:p>
    <w:p w:rsidR="00821966" w:rsidRPr="005D56B5" w:rsidRDefault="00821966" w:rsidP="005D56B5">
      <w:pPr>
        <w:numPr>
          <w:ilvl w:val="0"/>
          <w:numId w:val="3"/>
        </w:numPr>
        <w:ind w:right="-81"/>
        <w:jc w:val="both"/>
        <w:rPr>
          <w:lang w:eastAsia="ru-RU"/>
        </w:rPr>
      </w:pPr>
      <w:r w:rsidRPr="005D56B5">
        <w:rPr>
          <w:lang w:eastAsia="ru-RU"/>
        </w:rPr>
        <w:t>опрацювання теоретичних основ лекційного матеріалу;</w:t>
      </w:r>
    </w:p>
    <w:p w:rsidR="00821966" w:rsidRPr="005D56B5" w:rsidRDefault="00821966" w:rsidP="005D56B5">
      <w:pPr>
        <w:numPr>
          <w:ilvl w:val="0"/>
          <w:numId w:val="3"/>
        </w:numPr>
        <w:ind w:right="-81"/>
        <w:jc w:val="both"/>
        <w:rPr>
          <w:lang w:eastAsia="ru-RU"/>
        </w:rPr>
      </w:pPr>
      <w:r w:rsidRPr="005D56B5">
        <w:rPr>
          <w:lang w:eastAsia="ru-RU"/>
        </w:rPr>
        <w:t>вивчення окремих тем або питань, що не розглядаються в курсі лекцій;</w:t>
      </w:r>
    </w:p>
    <w:p w:rsidR="00821966" w:rsidRPr="005D56B5" w:rsidRDefault="00821966" w:rsidP="005D56B5">
      <w:pPr>
        <w:numPr>
          <w:ilvl w:val="0"/>
          <w:numId w:val="3"/>
        </w:numPr>
        <w:ind w:right="-81"/>
        <w:jc w:val="both"/>
        <w:rPr>
          <w:lang w:eastAsia="ru-RU"/>
        </w:rPr>
      </w:pPr>
      <w:r w:rsidRPr="005D56B5">
        <w:rPr>
          <w:lang w:eastAsia="ru-RU"/>
        </w:rPr>
        <w:t>підготовка до виступів на семінарах, колоквіумах, міні-захистах наукових проектів тощо;</w:t>
      </w:r>
    </w:p>
    <w:p w:rsidR="00821966" w:rsidRPr="005D56B5" w:rsidRDefault="00821966" w:rsidP="005D56B5">
      <w:pPr>
        <w:numPr>
          <w:ilvl w:val="0"/>
          <w:numId w:val="3"/>
        </w:numPr>
        <w:ind w:right="-81"/>
        <w:jc w:val="both"/>
        <w:rPr>
          <w:lang w:eastAsia="ru-RU"/>
        </w:rPr>
      </w:pPr>
      <w:r w:rsidRPr="005D56B5">
        <w:rPr>
          <w:lang w:eastAsia="ru-RU"/>
        </w:rPr>
        <w:t>підготовка повідомлень по окремих питаннях науково-дослідницької роботи слухача.</w:t>
      </w:r>
    </w:p>
    <w:p w:rsidR="00821966" w:rsidRPr="005D56B5" w:rsidRDefault="00821966" w:rsidP="005D56B5">
      <w:pPr>
        <w:ind w:right="-81" w:firstLine="720"/>
        <w:jc w:val="both"/>
        <w:rPr>
          <w:lang w:eastAsia="ru-RU"/>
        </w:rPr>
      </w:pPr>
      <w:r w:rsidRPr="005D56B5">
        <w:rPr>
          <w:lang w:eastAsia="ru-RU"/>
        </w:rPr>
        <w:t>У розділі ІНДИВІДУАЛЬНА РОБОТА зазначаються   індивідуальні завдання – теми наукових досліджень, над якими можуть працювати слухачі МАН. Бажано перелік тем науково-дослідницьких робіт супроводжувати короткими анотаціями, в яких вказувати мету дослідження та його основні завдання.</w:t>
      </w:r>
    </w:p>
    <w:p w:rsidR="00821966" w:rsidRPr="005D56B5" w:rsidRDefault="00821966" w:rsidP="005D56B5">
      <w:pPr>
        <w:ind w:right="-81" w:firstLine="720"/>
        <w:jc w:val="both"/>
        <w:rPr>
          <w:lang w:eastAsia="ru-RU"/>
        </w:rPr>
      </w:pPr>
      <w:r w:rsidRPr="005D56B5">
        <w:rPr>
          <w:lang w:eastAsia="ru-RU"/>
        </w:rPr>
        <w:t>Розділ РЕКОМЕНДОВАНА ЛІТЕРАТУРА ТА ІНТЕРНЕТ-РЕСУРСИ складається з переліків основної, додаткової літератури та Інтернет-ресурсів.</w:t>
      </w:r>
    </w:p>
    <w:p w:rsidR="00821966" w:rsidRPr="005D56B5" w:rsidRDefault="00821966" w:rsidP="005D56B5">
      <w:pPr>
        <w:ind w:right="-81"/>
      </w:pPr>
    </w:p>
    <w:p w:rsidR="00821966" w:rsidRPr="005D56B5" w:rsidRDefault="00821966" w:rsidP="005D56B5">
      <w:pPr>
        <w:keepNext/>
        <w:ind w:right="-81"/>
        <w:jc w:val="right"/>
        <w:outlineLvl w:val="5"/>
        <w:rPr>
          <w:i/>
          <w:iCs/>
          <w:lang w:eastAsia="ru-RU"/>
        </w:rPr>
      </w:pPr>
      <w:r w:rsidRPr="005D56B5">
        <w:rPr>
          <w:i/>
          <w:iCs/>
          <w:lang w:eastAsia="ru-RU"/>
        </w:rPr>
        <w:t>Зразок</w:t>
      </w:r>
    </w:p>
    <w:p w:rsidR="00821966" w:rsidRPr="005D56B5" w:rsidRDefault="00821966" w:rsidP="005D56B5">
      <w:pPr>
        <w:ind w:right="-81"/>
        <w:jc w:val="center"/>
        <w:rPr>
          <w:b/>
          <w:bCs/>
          <w:i/>
          <w:iCs/>
        </w:rPr>
      </w:pPr>
      <w:r w:rsidRPr="005D56B5">
        <w:rPr>
          <w:b/>
          <w:bCs/>
        </w:rPr>
        <w:t>Тематичний план курсу</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
        <w:gridCol w:w="949"/>
        <w:gridCol w:w="1260"/>
        <w:gridCol w:w="1184"/>
        <w:gridCol w:w="1336"/>
        <w:gridCol w:w="1438"/>
        <w:gridCol w:w="2882"/>
      </w:tblGrid>
      <w:tr w:rsidR="00821966" w:rsidRPr="005D56B5">
        <w:trPr>
          <w:cantSplit/>
        </w:trPr>
        <w:tc>
          <w:tcPr>
            <w:tcW w:w="779" w:type="dxa"/>
            <w:vMerge w:val="restart"/>
          </w:tcPr>
          <w:p w:rsidR="00821966" w:rsidRPr="005D56B5" w:rsidRDefault="00821966" w:rsidP="005D56B5">
            <w:pPr>
              <w:ind w:right="-81"/>
              <w:jc w:val="center"/>
              <w:rPr>
                <w:sz w:val="20"/>
                <w:szCs w:val="20"/>
              </w:rPr>
            </w:pPr>
          </w:p>
          <w:p w:rsidR="00821966" w:rsidRPr="005D56B5" w:rsidRDefault="00821966" w:rsidP="005D56B5">
            <w:pPr>
              <w:ind w:right="-81"/>
              <w:jc w:val="center"/>
              <w:rPr>
                <w:sz w:val="20"/>
                <w:szCs w:val="20"/>
              </w:rPr>
            </w:pPr>
            <w:r w:rsidRPr="005D56B5">
              <w:rPr>
                <w:sz w:val="20"/>
                <w:szCs w:val="20"/>
              </w:rPr>
              <w:t>№ з/п</w:t>
            </w:r>
          </w:p>
        </w:tc>
        <w:tc>
          <w:tcPr>
            <w:tcW w:w="949" w:type="dxa"/>
            <w:vMerge w:val="restart"/>
          </w:tcPr>
          <w:p w:rsidR="00821966" w:rsidRPr="005D56B5" w:rsidRDefault="00821966" w:rsidP="005D56B5">
            <w:pPr>
              <w:ind w:right="-81"/>
              <w:jc w:val="center"/>
              <w:rPr>
                <w:sz w:val="20"/>
                <w:szCs w:val="20"/>
              </w:rPr>
            </w:pPr>
          </w:p>
          <w:p w:rsidR="00821966" w:rsidRPr="005D56B5" w:rsidRDefault="00821966" w:rsidP="005D56B5">
            <w:pPr>
              <w:ind w:right="-81"/>
              <w:jc w:val="center"/>
              <w:rPr>
                <w:sz w:val="20"/>
                <w:szCs w:val="20"/>
              </w:rPr>
            </w:pPr>
            <w:r w:rsidRPr="005D56B5">
              <w:rPr>
                <w:sz w:val="20"/>
                <w:szCs w:val="20"/>
              </w:rPr>
              <w:t>Тема</w:t>
            </w:r>
          </w:p>
        </w:tc>
        <w:tc>
          <w:tcPr>
            <w:tcW w:w="5218" w:type="dxa"/>
            <w:gridSpan w:val="4"/>
          </w:tcPr>
          <w:p w:rsidR="00821966" w:rsidRPr="005D56B5" w:rsidRDefault="00821966" w:rsidP="005D56B5">
            <w:pPr>
              <w:ind w:right="-81"/>
              <w:jc w:val="center"/>
              <w:rPr>
                <w:sz w:val="20"/>
                <w:szCs w:val="20"/>
              </w:rPr>
            </w:pPr>
            <w:r w:rsidRPr="005D56B5">
              <w:rPr>
                <w:sz w:val="20"/>
                <w:szCs w:val="20"/>
              </w:rPr>
              <w:t>Аудиторні години</w:t>
            </w:r>
          </w:p>
        </w:tc>
        <w:tc>
          <w:tcPr>
            <w:tcW w:w="2882" w:type="dxa"/>
            <w:vMerge w:val="restart"/>
          </w:tcPr>
          <w:p w:rsidR="00821966" w:rsidRPr="005D56B5" w:rsidRDefault="00821966" w:rsidP="005D56B5">
            <w:pPr>
              <w:ind w:right="-81"/>
              <w:jc w:val="center"/>
              <w:rPr>
                <w:sz w:val="20"/>
                <w:szCs w:val="20"/>
              </w:rPr>
            </w:pPr>
          </w:p>
          <w:p w:rsidR="00821966" w:rsidRPr="005D56B5" w:rsidRDefault="00821966" w:rsidP="005D56B5">
            <w:pPr>
              <w:ind w:right="-81"/>
              <w:jc w:val="center"/>
              <w:rPr>
                <w:sz w:val="20"/>
                <w:szCs w:val="20"/>
              </w:rPr>
            </w:pPr>
            <w:r w:rsidRPr="005D56B5">
              <w:rPr>
                <w:sz w:val="20"/>
                <w:szCs w:val="20"/>
              </w:rPr>
              <w:t>Самостійна робота</w:t>
            </w:r>
          </w:p>
        </w:tc>
      </w:tr>
      <w:tr w:rsidR="00821966" w:rsidRPr="005D56B5">
        <w:trPr>
          <w:cantSplit/>
        </w:trPr>
        <w:tc>
          <w:tcPr>
            <w:tcW w:w="779" w:type="dxa"/>
            <w:vMerge/>
          </w:tcPr>
          <w:p w:rsidR="00821966" w:rsidRPr="005D56B5" w:rsidRDefault="00821966" w:rsidP="005D56B5">
            <w:pPr>
              <w:ind w:right="-81"/>
              <w:jc w:val="center"/>
              <w:rPr>
                <w:sz w:val="20"/>
                <w:szCs w:val="20"/>
                <w:lang w:val="en-US"/>
              </w:rPr>
            </w:pPr>
          </w:p>
        </w:tc>
        <w:tc>
          <w:tcPr>
            <w:tcW w:w="949" w:type="dxa"/>
            <w:vMerge/>
          </w:tcPr>
          <w:p w:rsidR="00821966" w:rsidRPr="005D56B5" w:rsidRDefault="00821966" w:rsidP="005D56B5">
            <w:pPr>
              <w:ind w:right="-81"/>
              <w:jc w:val="center"/>
              <w:rPr>
                <w:sz w:val="20"/>
                <w:szCs w:val="20"/>
                <w:lang w:val="en-US"/>
              </w:rPr>
            </w:pPr>
          </w:p>
        </w:tc>
        <w:tc>
          <w:tcPr>
            <w:tcW w:w="1260" w:type="dxa"/>
          </w:tcPr>
          <w:p w:rsidR="00821966" w:rsidRPr="005D56B5" w:rsidRDefault="00821966" w:rsidP="005D56B5">
            <w:pPr>
              <w:ind w:right="-81"/>
              <w:jc w:val="center"/>
              <w:rPr>
                <w:sz w:val="20"/>
                <w:szCs w:val="20"/>
              </w:rPr>
            </w:pPr>
            <w:r w:rsidRPr="005D56B5">
              <w:rPr>
                <w:sz w:val="20"/>
                <w:szCs w:val="20"/>
              </w:rPr>
              <w:t>Лекції</w:t>
            </w:r>
          </w:p>
        </w:tc>
        <w:tc>
          <w:tcPr>
            <w:tcW w:w="1184" w:type="dxa"/>
          </w:tcPr>
          <w:p w:rsidR="00821966" w:rsidRPr="005D56B5" w:rsidRDefault="00821966" w:rsidP="005D56B5">
            <w:pPr>
              <w:ind w:right="-81"/>
              <w:jc w:val="center"/>
              <w:rPr>
                <w:sz w:val="20"/>
                <w:szCs w:val="20"/>
              </w:rPr>
            </w:pPr>
            <w:r w:rsidRPr="005D56B5">
              <w:rPr>
                <w:sz w:val="20"/>
                <w:szCs w:val="20"/>
              </w:rPr>
              <w:t>Семінари</w:t>
            </w:r>
          </w:p>
        </w:tc>
        <w:tc>
          <w:tcPr>
            <w:tcW w:w="1336" w:type="dxa"/>
          </w:tcPr>
          <w:p w:rsidR="00821966" w:rsidRPr="005D56B5" w:rsidRDefault="00821966" w:rsidP="005D56B5">
            <w:pPr>
              <w:ind w:right="-81"/>
              <w:jc w:val="center"/>
              <w:rPr>
                <w:sz w:val="20"/>
                <w:szCs w:val="20"/>
              </w:rPr>
            </w:pPr>
            <w:r w:rsidRPr="005D56B5">
              <w:rPr>
                <w:sz w:val="20"/>
                <w:szCs w:val="20"/>
              </w:rPr>
              <w:t>Лабораторні</w:t>
            </w:r>
          </w:p>
        </w:tc>
        <w:tc>
          <w:tcPr>
            <w:tcW w:w="1438" w:type="dxa"/>
          </w:tcPr>
          <w:p w:rsidR="00821966" w:rsidRPr="005D56B5" w:rsidRDefault="00821966" w:rsidP="005D56B5">
            <w:pPr>
              <w:ind w:right="-81"/>
              <w:jc w:val="center"/>
              <w:rPr>
                <w:sz w:val="20"/>
                <w:szCs w:val="20"/>
              </w:rPr>
            </w:pPr>
            <w:r w:rsidRPr="005D56B5">
              <w:rPr>
                <w:sz w:val="20"/>
                <w:szCs w:val="20"/>
              </w:rPr>
              <w:t xml:space="preserve">Інші види </w:t>
            </w:r>
          </w:p>
          <w:p w:rsidR="00821966" w:rsidRPr="005D56B5" w:rsidRDefault="00821966" w:rsidP="005D56B5">
            <w:pPr>
              <w:ind w:right="-81"/>
              <w:jc w:val="center"/>
              <w:rPr>
                <w:sz w:val="20"/>
                <w:szCs w:val="20"/>
              </w:rPr>
            </w:pPr>
            <w:r w:rsidRPr="005D56B5">
              <w:rPr>
                <w:sz w:val="20"/>
                <w:szCs w:val="20"/>
              </w:rPr>
              <w:t>занять</w:t>
            </w:r>
          </w:p>
        </w:tc>
        <w:tc>
          <w:tcPr>
            <w:tcW w:w="2882" w:type="dxa"/>
            <w:vMerge/>
          </w:tcPr>
          <w:p w:rsidR="00821966" w:rsidRPr="005D56B5" w:rsidRDefault="00821966" w:rsidP="005D56B5">
            <w:pPr>
              <w:ind w:right="-81"/>
              <w:jc w:val="center"/>
              <w:rPr>
                <w:sz w:val="20"/>
                <w:szCs w:val="20"/>
                <w:lang w:val="en-US"/>
              </w:rPr>
            </w:pPr>
          </w:p>
        </w:tc>
      </w:tr>
    </w:tbl>
    <w:p w:rsidR="00821966" w:rsidRPr="005D56B5" w:rsidRDefault="00821966" w:rsidP="005D56B5">
      <w:pPr>
        <w:tabs>
          <w:tab w:val="left" w:pos="677"/>
        </w:tabs>
        <w:autoSpaceDE w:val="0"/>
        <w:autoSpaceDN w:val="0"/>
        <w:adjustRightInd w:val="0"/>
        <w:spacing w:line="221" w:lineRule="exact"/>
        <w:ind w:right="-81" w:firstLine="720"/>
        <w:jc w:val="both"/>
        <w:rPr>
          <w:sz w:val="20"/>
          <w:szCs w:val="20"/>
        </w:rPr>
      </w:pPr>
    </w:p>
    <w:p w:rsidR="00821966" w:rsidRPr="005D56B5" w:rsidRDefault="00821966" w:rsidP="005D56B5">
      <w:pPr>
        <w:ind w:firstLine="720"/>
        <w:jc w:val="both"/>
      </w:pPr>
      <w:r w:rsidRPr="005D56B5">
        <w:rPr>
          <w:b/>
          <w:bCs/>
        </w:rPr>
        <w:t xml:space="preserve">Програми спецкурсів, </w:t>
      </w:r>
      <w:r w:rsidRPr="005D56B5">
        <w:t xml:space="preserve">спрямовані на розвиток інтелектуальних, комунікативних здібностей, навичок самоорганізації та самоуправління, необхідних для творчої самореалізації старшокласників, класифікуються за призначенням (наукові курси, психологічні тренінг-курси тощо) та тривалістю (річні, короткострокові) і використовуються як у системі стаціонарних секцій МАН, так і в системі наукових товариств, філій та заочної школи. Спецкурси є </w:t>
      </w:r>
      <w:r w:rsidRPr="005D56B5">
        <w:rPr>
          <w:b/>
          <w:bCs/>
          <w:i/>
          <w:iCs/>
        </w:rPr>
        <w:t>авторською формою роботи керівника</w:t>
      </w:r>
      <w:r w:rsidRPr="005D56B5">
        <w:t xml:space="preserve">, тому навчальні програми спецкурсів, зберігаючи загальну структуру, можуть містити інші найрізноманітніші види навчальної діяльності школярів. </w:t>
      </w:r>
    </w:p>
    <w:p w:rsidR="00821966" w:rsidRPr="005D56B5" w:rsidRDefault="00821966" w:rsidP="005D56B5">
      <w:pPr>
        <w:ind w:firstLine="720"/>
        <w:jc w:val="both"/>
        <w:rPr>
          <w:b/>
          <w:bCs/>
        </w:rPr>
      </w:pPr>
      <w:r w:rsidRPr="005D56B5">
        <w:rPr>
          <w:b/>
          <w:bCs/>
        </w:rPr>
        <w:t>Перелік рекомендованих спецкурсів:</w:t>
      </w:r>
    </w:p>
    <w:p w:rsidR="00821966" w:rsidRPr="005D56B5" w:rsidRDefault="00821966" w:rsidP="005D56B5">
      <w:pPr>
        <w:tabs>
          <w:tab w:val="left" w:pos="672"/>
        </w:tabs>
        <w:autoSpaceDE w:val="0"/>
        <w:autoSpaceDN w:val="0"/>
        <w:adjustRightInd w:val="0"/>
        <w:ind w:firstLine="675"/>
        <w:jc w:val="both"/>
        <w:rPr>
          <w:i/>
          <w:iCs/>
        </w:rPr>
      </w:pPr>
      <w:r w:rsidRPr="005D56B5">
        <w:rPr>
          <w:i/>
          <w:iCs/>
        </w:rPr>
        <w:t>- на 1-му навчально-організаційному рівні:</w:t>
      </w:r>
    </w:p>
    <w:p w:rsidR="00821966" w:rsidRPr="005D56B5" w:rsidRDefault="00821966" w:rsidP="005D56B5">
      <w:pPr>
        <w:autoSpaceDE w:val="0"/>
        <w:autoSpaceDN w:val="0"/>
        <w:adjustRightInd w:val="0"/>
        <w:ind w:firstLine="675"/>
        <w:jc w:val="both"/>
      </w:pPr>
      <w:r w:rsidRPr="005D56B5">
        <w:t xml:space="preserve">Спецкурс </w:t>
      </w:r>
      <w:r w:rsidRPr="005D56B5">
        <w:rPr>
          <w:b/>
          <w:bCs/>
        </w:rPr>
        <w:t>«Основи пошуково-дослідницької робо</w:t>
      </w:r>
      <w:r w:rsidRPr="005D56B5">
        <w:rPr>
          <w:b/>
          <w:bCs/>
        </w:rPr>
        <w:softHyphen/>
        <w:t xml:space="preserve">ти» </w:t>
      </w:r>
      <w:r w:rsidRPr="005D56B5">
        <w:t>- спрямований на фор</w:t>
      </w:r>
      <w:r w:rsidRPr="005D56B5">
        <w:softHyphen/>
        <w:t>мування в слухачів спеціальних знань, умінь і навичок, необхід</w:t>
      </w:r>
      <w:r w:rsidRPr="005D56B5">
        <w:softHyphen/>
        <w:t>них для систематизованої та цілеспрямованої пошуково-дослід</w:t>
      </w:r>
      <w:r w:rsidRPr="005D56B5">
        <w:softHyphen/>
        <w:t>ницької діяльності. Передбачає знайомство з видами наукових досліджень, методами збору матеріалу, організацією та проведенням експерименту тощо.</w:t>
      </w:r>
    </w:p>
    <w:p w:rsidR="00821966" w:rsidRPr="005D56B5" w:rsidRDefault="00821966" w:rsidP="005D56B5">
      <w:pPr>
        <w:tabs>
          <w:tab w:val="left" w:pos="672"/>
        </w:tabs>
        <w:autoSpaceDE w:val="0"/>
        <w:autoSpaceDN w:val="0"/>
        <w:adjustRightInd w:val="0"/>
        <w:ind w:firstLine="675"/>
        <w:jc w:val="both"/>
      </w:pPr>
      <w:r w:rsidRPr="005D56B5">
        <w:t xml:space="preserve">Спецкурс </w:t>
      </w:r>
      <w:r w:rsidRPr="005D56B5">
        <w:rPr>
          <w:b/>
          <w:bCs/>
        </w:rPr>
        <w:t xml:space="preserve">«Основи саморозвитку творчої особистості» </w:t>
      </w:r>
      <w:r w:rsidRPr="005D56B5">
        <w:t>спрямований на розвиток у школярів вмінь ефективної організації праці, поєднання її з активним відпочинком; розвиток уваги, мислення, пам’яті, навичок конспектування, продуктивного слухання та сприймання. Після його засвоєння учні повинні вмітиоцінювати психофізіологічні якості особистості, пізнавальні здібності та потреби, здійснювати самооцінку індивідуальних здібностей, якостей та когнітивних потреб.</w:t>
      </w:r>
    </w:p>
    <w:p w:rsidR="00821966" w:rsidRPr="005D56B5" w:rsidRDefault="00821966" w:rsidP="005D56B5">
      <w:pPr>
        <w:numPr>
          <w:ilvl w:val="0"/>
          <w:numId w:val="3"/>
        </w:numPr>
        <w:autoSpaceDE w:val="0"/>
        <w:autoSpaceDN w:val="0"/>
        <w:adjustRightInd w:val="0"/>
        <w:ind w:firstLine="675"/>
        <w:jc w:val="both"/>
        <w:rPr>
          <w:i/>
          <w:iCs/>
        </w:rPr>
      </w:pPr>
      <w:r w:rsidRPr="005D56B5">
        <w:rPr>
          <w:i/>
          <w:iCs/>
        </w:rPr>
        <w:t xml:space="preserve">на 2-му навчально-організаційному рівні: </w:t>
      </w:r>
    </w:p>
    <w:p w:rsidR="00821966" w:rsidRPr="005D56B5" w:rsidRDefault="00821966" w:rsidP="005D56B5">
      <w:pPr>
        <w:autoSpaceDE w:val="0"/>
        <w:autoSpaceDN w:val="0"/>
        <w:adjustRightInd w:val="0"/>
        <w:ind w:firstLine="675"/>
        <w:jc w:val="both"/>
      </w:pPr>
      <w:r w:rsidRPr="005D56B5">
        <w:t xml:space="preserve">Спецкурс з </w:t>
      </w:r>
      <w:r w:rsidRPr="005D56B5">
        <w:rPr>
          <w:b/>
          <w:bCs/>
        </w:rPr>
        <w:t>красномовства і риторики</w:t>
      </w:r>
      <w:r w:rsidRPr="005D56B5">
        <w:rPr>
          <w:i/>
          <w:iCs/>
        </w:rPr>
        <w:t xml:space="preserve"> </w:t>
      </w:r>
      <w:r w:rsidRPr="005D56B5">
        <w:t>спрямований на вдосконалення комунікативних вмінь та навичок комунікативної взаємодії, формування комунікативної компетентності слухачів та передбачає оволодіння знаннями про правила й норми спілкування, майстерність публічного виступу, ведення діалогу та дискусії тощо;</w:t>
      </w:r>
    </w:p>
    <w:p w:rsidR="00821966" w:rsidRPr="005D56B5" w:rsidRDefault="00821966" w:rsidP="005D56B5">
      <w:pPr>
        <w:ind w:firstLine="675"/>
        <w:jc w:val="both"/>
      </w:pPr>
      <w:r w:rsidRPr="005D56B5">
        <w:t xml:space="preserve"> Спецкурс </w:t>
      </w:r>
      <w:r w:rsidRPr="005D56B5">
        <w:rPr>
          <w:b/>
          <w:bCs/>
        </w:rPr>
        <w:t>з основ творчої діяльності</w:t>
      </w:r>
      <w:r w:rsidRPr="005D56B5">
        <w:rPr>
          <w:i/>
          <w:iCs/>
        </w:rPr>
        <w:t xml:space="preserve"> </w:t>
      </w:r>
      <w:r w:rsidRPr="005D56B5">
        <w:t>спрямований на фор</w:t>
      </w:r>
      <w:r w:rsidRPr="005D56B5">
        <w:softHyphen/>
        <w:t>мування та розвиток інтелектуальних умінь, комунікативних здібностей, навичок самоуправління та самоорганізації, необ</w:t>
      </w:r>
      <w:r w:rsidRPr="005D56B5">
        <w:softHyphen/>
        <w:t>хідних для творчої самореалізації старшокласників. Їх основ</w:t>
      </w:r>
      <w:r w:rsidRPr="005D56B5">
        <w:softHyphen/>
        <w:t>ними завданнями є ознайомлення слухачів з теоретичними основами психології творчості та творчої діяльності; удоскона</w:t>
      </w:r>
      <w:r w:rsidRPr="005D56B5">
        <w:softHyphen/>
        <w:t>лення досвіду учнів щодо використання своїх творчих здібнос</w:t>
      </w:r>
      <w:r w:rsidRPr="005D56B5">
        <w:softHyphen/>
        <w:t xml:space="preserve">тей у пошуково-дослідницькій діяльності. </w:t>
      </w:r>
    </w:p>
    <w:p w:rsidR="00821966" w:rsidRPr="005D56B5" w:rsidRDefault="00821966" w:rsidP="005D56B5">
      <w:pPr>
        <w:numPr>
          <w:ilvl w:val="0"/>
          <w:numId w:val="3"/>
        </w:numPr>
        <w:tabs>
          <w:tab w:val="left" w:pos="672"/>
        </w:tabs>
        <w:autoSpaceDE w:val="0"/>
        <w:autoSpaceDN w:val="0"/>
        <w:adjustRightInd w:val="0"/>
        <w:ind w:firstLine="675"/>
        <w:jc w:val="both"/>
        <w:rPr>
          <w:i/>
          <w:iCs/>
        </w:rPr>
      </w:pPr>
      <w:r w:rsidRPr="005D56B5">
        <w:rPr>
          <w:i/>
          <w:iCs/>
        </w:rPr>
        <w:t>на 3-му навчально-організаційному рівні:</w:t>
      </w:r>
    </w:p>
    <w:p w:rsidR="00821966" w:rsidRPr="005D56B5" w:rsidRDefault="00821966" w:rsidP="005D56B5">
      <w:pPr>
        <w:pStyle w:val="Style21"/>
        <w:widowControl/>
        <w:tabs>
          <w:tab w:val="left" w:pos="672"/>
        </w:tabs>
        <w:spacing w:line="240" w:lineRule="auto"/>
        <w:ind w:firstLine="675"/>
      </w:pPr>
      <w:r w:rsidRPr="005D56B5">
        <w:t xml:space="preserve">Спецкурс </w:t>
      </w:r>
      <w:r w:rsidRPr="005D56B5">
        <w:rPr>
          <w:b/>
          <w:bCs/>
        </w:rPr>
        <w:t>«Ор</w:t>
      </w:r>
      <w:r w:rsidRPr="005D56B5">
        <w:rPr>
          <w:b/>
          <w:bCs/>
        </w:rPr>
        <w:softHyphen/>
        <w:t>ганізація індивідуальної дослідницької діяльності»</w:t>
      </w:r>
      <w:r w:rsidRPr="005D56B5">
        <w:t xml:space="preserve"> передбачає організацію навчально-пізнавальної та по</w:t>
      </w:r>
      <w:r w:rsidRPr="005D56B5">
        <w:softHyphen/>
        <w:t>шуково-дослідницької діяльності старшокласників за тематикою їх наукових досліджень, напрямами діючих наукових та освіт</w:t>
      </w:r>
      <w:r w:rsidRPr="005D56B5">
        <w:softHyphen/>
        <w:t>ніх проектів; а також організацію проектно-дослідницької діяль</w:t>
      </w:r>
      <w:r w:rsidRPr="005D56B5">
        <w:softHyphen/>
        <w:t>ності слухачів.</w:t>
      </w:r>
    </w:p>
    <w:p w:rsidR="00821966" w:rsidRPr="005D56B5" w:rsidRDefault="00821966" w:rsidP="005D56B5">
      <w:pPr>
        <w:tabs>
          <w:tab w:val="left" w:pos="672"/>
        </w:tabs>
        <w:autoSpaceDE w:val="0"/>
        <w:autoSpaceDN w:val="0"/>
        <w:adjustRightInd w:val="0"/>
        <w:ind w:firstLine="675"/>
        <w:jc w:val="both"/>
      </w:pPr>
      <w:r w:rsidRPr="005D56B5">
        <w:t xml:space="preserve">Спецкурс </w:t>
      </w:r>
      <w:r w:rsidRPr="005D56B5">
        <w:rPr>
          <w:b/>
          <w:bCs/>
        </w:rPr>
        <w:t>«Структурно-стилістичні вимоги до наукової роботи слухача МАН»</w:t>
      </w:r>
      <w:r w:rsidRPr="005D56B5">
        <w:t xml:space="preserve"> спрямований на засвоєння слухачем основних правил оформлення тексту науково-дослідницької роботи, що стосуються особливостей формулювання теми, актуальності, мети та завдань дослідження, його предмету та об</w:t>
      </w:r>
      <w:r w:rsidRPr="005D56B5">
        <w:rPr>
          <w:lang w:val="ru-RU"/>
        </w:rPr>
        <w:t>’</w:t>
      </w:r>
      <w:r w:rsidRPr="005D56B5">
        <w:t>єкту; мовно-стилістичних вимог (відповідність науковому стилю, дотримання логіки наукового викладу матеріалу тощо).</w:t>
      </w:r>
    </w:p>
    <w:p w:rsidR="00821966" w:rsidRPr="005D56B5" w:rsidRDefault="00821966" w:rsidP="005D56B5">
      <w:pPr>
        <w:ind w:firstLine="720"/>
        <w:jc w:val="both"/>
        <w:rPr>
          <w:b/>
          <w:bCs/>
        </w:rPr>
      </w:pPr>
    </w:p>
    <w:p w:rsidR="00821966" w:rsidRPr="005D56B5" w:rsidRDefault="00821966" w:rsidP="005D56B5">
      <w:pPr>
        <w:ind w:firstLine="720"/>
        <w:jc w:val="both"/>
      </w:pPr>
      <w:r w:rsidRPr="005D56B5">
        <w:rPr>
          <w:b/>
          <w:bCs/>
        </w:rPr>
        <w:t>Індивідуальні навчальні плани та програми</w:t>
      </w:r>
      <w:r w:rsidRPr="005D56B5">
        <w:t xml:space="preserve"> використовуються для організації роботи з талановитими старшокласниками на третьому (власне пошуково-дослідницькому) навчально-організаційному рівні. Ці документи можуть мати різну структуру, проте їх спільними рисами є варіативність, можливість регулювати темпи навчально-дослідницької  діяльності слухачів, вводити нові види роботи (теми, завдання) відповідно до тематики їх дослідницької діяльності, узгоджувати зміст індивідуальної роботи з іншими навчальними курсами.</w:t>
      </w:r>
    </w:p>
    <w:p w:rsidR="00821966" w:rsidRPr="005D56B5" w:rsidRDefault="00821966" w:rsidP="005D56B5">
      <w:pPr>
        <w:ind w:firstLine="720"/>
        <w:jc w:val="both"/>
      </w:pPr>
      <w:r w:rsidRPr="005D56B5">
        <w:rPr>
          <w:b/>
          <w:bCs/>
        </w:rPr>
        <w:t>Комп’ютерні навчальні програми</w:t>
      </w:r>
      <w:r w:rsidRPr="005D56B5">
        <w:t xml:space="preserve"> зорієнтовані на індивідуалізацію навчального процесу, широке використання анімації, комп’ютерного моделювання, роботу в мережі Інтернет. Застосування таких програм забезпечує порядок та точність виконання слухачами навчальних завдань, при необхідності дозволяє їм повторювати навчальний курс (або його частину), активізує формування навичок самоорганізації та самоконтролю. Проте використання таких програм в умовах роботи більшості районних та сільських загальноосвітніх та позашкільних навчальних закладів є проблематичним, оскільки вимагає наявності сучасної комп’ютерної техніки, доступу до мережі Інтернет та відповідно спеціально підготовлених педагогів.</w:t>
      </w:r>
    </w:p>
    <w:p w:rsidR="00821966" w:rsidRPr="005D56B5" w:rsidRDefault="00821966" w:rsidP="005D56B5">
      <w:pPr>
        <w:ind w:firstLine="720"/>
        <w:jc w:val="both"/>
      </w:pPr>
      <w:r w:rsidRPr="005D56B5">
        <w:rPr>
          <w:b/>
          <w:bCs/>
        </w:rPr>
        <w:t>Комплексні навчально-виховні програми розвиваючого спрямування</w:t>
      </w:r>
      <w:r w:rsidRPr="005D56B5">
        <w:t xml:space="preserve"> є інновацією у програмному</w:t>
      </w:r>
      <w:r w:rsidRPr="005D56B5">
        <w:rPr>
          <w:lang w:val="ru-RU"/>
        </w:rPr>
        <w:t xml:space="preserve"> </w:t>
      </w:r>
      <w:r w:rsidRPr="005D56B5">
        <w:t>забезпеченні МАН. Їх складовими є профільні навчальні, розвиваючі та навчально-дослідницькі програми (блоки, модулі, розділи), спеціальні короткострокові програми розвиваючого спрямування, програми психологічних тренінгів та курсів, спрямовані на формування та розвиток творчих здібностей слухачів. Досвід роботи територіальних відділень МАН (Волинського, Київського, Кримського, Сумського, Харківського та ін.) демонструє їх перспективність та доцільність використання у навчально-виховному процесі.</w:t>
      </w:r>
    </w:p>
    <w:p w:rsidR="00821966" w:rsidRPr="005D56B5" w:rsidRDefault="00821966" w:rsidP="005D56B5">
      <w:bookmarkStart w:id="0" w:name="_GoBack"/>
      <w:bookmarkEnd w:id="0"/>
    </w:p>
    <w:sectPr w:rsidR="00821966" w:rsidRPr="005D56B5" w:rsidSect="0091079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9F5"/>
    <w:multiLevelType w:val="hybridMultilevel"/>
    <w:tmpl w:val="9AAC20A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431549E8"/>
    <w:multiLevelType w:val="hybridMultilevel"/>
    <w:tmpl w:val="615C6DE4"/>
    <w:lvl w:ilvl="0" w:tplc="A8F08142">
      <w:start w:val="2"/>
      <w:numFmt w:val="bullet"/>
      <w:lvlText w:val="-"/>
      <w:lvlJc w:val="left"/>
      <w:pPr>
        <w:tabs>
          <w:tab w:val="num" w:pos="1680"/>
        </w:tabs>
        <w:ind w:left="1680" w:hanging="9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5A8861DB"/>
    <w:multiLevelType w:val="hybridMultilevel"/>
    <w:tmpl w:val="10AE3FD0"/>
    <w:lvl w:ilvl="0" w:tplc="1A687F8E">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9B4"/>
    <w:rsid w:val="00203F1A"/>
    <w:rsid w:val="00210F81"/>
    <w:rsid w:val="00442C03"/>
    <w:rsid w:val="00540DD6"/>
    <w:rsid w:val="00587926"/>
    <w:rsid w:val="005D56B5"/>
    <w:rsid w:val="006A5052"/>
    <w:rsid w:val="006E3BA1"/>
    <w:rsid w:val="00821966"/>
    <w:rsid w:val="00910799"/>
    <w:rsid w:val="00951366"/>
    <w:rsid w:val="00A51447"/>
    <w:rsid w:val="00C04500"/>
    <w:rsid w:val="00D065A7"/>
    <w:rsid w:val="00F719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DD6"/>
    <w:rPr>
      <w:rFonts w:ascii="Times New Roman" w:eastAsia="Times New Roman" w:hAnsi="Times New Roman"/>
      <w:sz w:val="24"/>
      <w:szCs w:val="24"/>
      <w:lang w:val="uk-UA" w:eastAsia="uk-UA"/>
    </w:rPr>
  </w:style>
  <w:style w:type="paragraph" w:styleId="Heading3">
    <w:name w:val="heading 3"/>
    <w:basedOn w:val="Normal"/>
    <w:next w:val="Normal"/>
    <w:link w:val="Heading3Char"/>
    <w:uiPriority w:val="99"/>
    <w:qFormat/>
    <w:rsid w:val="00540DD6"/>
    <w:pPr>
      <w:keepNext/>
      <w:jc w:val="center"/>
      <w:outlineLvl w:val="2"/>
    </w:pPr>
    <w:rPr>
      <w:sz w:val="28"/>
      <w:szCs w:val="28"/>
      <w:lang w:eastAsia="ru-RU"/>
    </w:rPr>
  </w:style>
  <w:style w:type="paragraph" w:styleId="Heading6">
    <w:name w:val="heading 6"/>
    <w:basedOn w:val="Normal"/>
    <w:next w:val="Normal"/>
    <w:link w:val="Heading6Char"/>
    <w:uiPriority w:val="99"/>
    <w:qFormat/>
    <w:rsid w:val="00540DD6"/>
    <w:pPr>
      <w:keepNext/>
      <w:keepLines/>
      <w:spacing w:before="200"/>
      <w:outlineLvl w:val="5"/>
    </w:pPr>
    <w:rPr>
      <w:rFonts w:ascii="Cambria" w:hAnsi="Cambria" w:cs="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40DD6"/>
    <w:rPr>
      <w:rFonts w:ascii="Times New Roman" w:hAnsi="Times New Roman" w:cs="Times New Roman"/>
      <w:sz w:val="24"/>
      <w:szCs w:val="24"/>
      <w:lang w:eastAsia="ru-RU"/>
    </w:rPr>
  </w:style>
  <w:style w:type="character" w:customStyle="1" w:styleId="Heading6Char">
    <w:name w:val="Heading 6 Char"/>
    <w:basedOn w:val="DefaultParagraphFont"/>
    <w:link w:val="Heading6"/>
    <w:uiPriority w:val="99"/>
    <w:semiHidden/>
    <w:locked/>
    <w:rsid w:val="00540DD6"/>
    <w:rPr>
      <w:rFonts w:ascii="Cambria" w:hAnsi="Cambria" w:cs="Cambria"/>
      <w:i/>
      <w:iCs/>
      <w:color w:val="243F60"/>
      <w:sz w:val="24"/>
      <w:szCs w:val="24"/>
      <w:lang w:eastAsia="uk-UA"/>
    </w:rPr>
  </w:style>
  <w:style w:type="character" w:customStyle="1" w:styleId="FontStyle251">
    <w:name w:val="Font Style251"/>
    <w:basedOn w:val="DefaultParagraphFont"/>
    <w:uiPriority w:val="99"/>
    <w:rsid w:val="00540DD6"/>
    <w:rPr>
      <w:rFonts w:ascii="Bookman Old Style" w:hAnsi="Bookman Old Style" w:cs="Bookman Old Style"/>
      <w:sz w:val="16"/>
      <w:szCs w:val="16"/>
    </w:rPr>
  </w:style>
  <w:style w:type="paragraph" w:customStyle="1" w:styleId="Style6">
    <w:name w:val="Style6"/>
    <w:basedOn w:val="Normal"/>
    <w:uiPriority w:val="99"/>
    <w:rsid w:val="00540DD6"/>
    <w:pPr>
      <w:widowControl w:val="0"/>
      <w:autoSpaceDE w:val="0"/>
      <w:autoSpaceDN w:val="0"/>
      <w:adjustRightInd w:val="0"/>
      <w:spacing w:line="230" w:lineRule="exact"/>
      <w:jc w:val="both"/>
    </w:pPr>
  </w:style>
  <w:style w:type="paragraph" w:customStyle="1" w:styleId="Style95">
    <w:name w:val="Style95"/>
    <w:basedOn w:val="Normal"/>
    <w:uiPriority w:val="99"/>
    <w:rsid w:val="00540DD6"/>
    <w:pPr>
      <w:widowControl w:val="0"/>
      <w:autoSpaceDE w:val="0"/>
      <w:autoSpaceDN w:val="0"/>
      <w:adjustRightInd w:val="0"/>
      <w:spacing w:line="221" w:lineRule="exact"/>
      <w:ind w:firstLine="403"/>
      <w:jc w:val="both"/>
    </w:pPr>
  </w:style>
  <w:style w:type="paragraph" w:styleId="BodyTextIndent2">
    <w:name w:val="Body Text Indent 2"/>
    <w:basedOn w:val="Normal"/>
    <w:link w:val="BodyTextIndent2Char"/>
    <w:uiPriority w:val="99"/>
    <w:rsid w:val="00540DD6"/>
    <w:pPr>
      <w:ind w:firstLine="720"/>
      <w:jc w:val="both"/>
    </w:pPr>
    <w:rPr>
      <w:sz w:val="28"/>
      <w:szCs w:val="28"/>
      <w:lang w:eastAsia="ru-RU"/>
    </w:rPr>
  </w:style>
  <w:style w:type="character" w:customStyle="1" w:styleId="BodyTextIndent2Char">
    <w:name w:val="Body Text Indent 2 Char"/>
    <w:basedOn w:val="DefaultParagraphFont"/>
    <w:link w:val="BodyTextIndent2"/>
    <w:uiPriority w:val="99"/>
    <w:locked/>
    <w:rsid w:val="00540DD6"/>
    <w:rPr>
      <w:rFonts w:ascii="Times New Roman" w:hAnsi="Times New Roman" w:cs="Times New Roman"/>
      <w:sz w:val="24"/>
      <w:szCs w:val="24"/>
      <w:lang w:eastAsia="ru-RU"/>
    </w:rPr>
  </w:style>
  <w:style w:type="paragraph" w:customStyle="1" w:styleId="Style21">
    <w:name w:val="Style21"/>
    <w:basedOn w:val="Normal"/>
    <w:uiPriority w:val="99"/>
    <w:rsid w:val="00540DD6"/>
    <w:pPr>
      <w:widowControl w:val="0"/>
      <w:autoSpaceDE w:val="0"/>
      <w:autoSpaceDN w:val="0"/>
      <w:adjustRightInd w:val="0"/>
      <w:spacing w:line="211" w:lineRule="exact"/>
      <w:ind w:hanging="22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1368</Words>
  <Characters>7799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Vovka</dc:creator>
  <cp:keywords/>
  <dc:description/>
  <cp:lastModifiedBy>Rhome</cp:lastModifiedBy>
  <cp:revision>3</cp:revision>
  <dcterms:created xsi:type="dcterms:W3CDTF">2013-04-13T20:08:00Z</dcterms:created>
  <dcterms:modified xsi:type="dcterms:W3CDTF">2013-04-16T09:47:00Z</dcterms:modified>
</cp:coreProperties>
</file>